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FDF1C" w14:textId="77777777" w:rsidR="00460D81" w:rsidRDefault="00460D81" w:rsidP="00460D81">
      <w:pPr>
        <w:spacing w:after="0" w:line="240" w:lineRule="auto"/>
        <w:jc w:val="center"/>
        <w:rPr>
          <w:rFonts w:ascii="Calibri" w:eastAsia="Calibri" w:hAnsi="Calibri" w:cs="Times New Roman"/>
          <w:b/>
          <w:bCs/>
          <w:sz w:val="56"/>
          <w:szCs w:val="56"/>
          <w:lang w:val="ro-RO"/>
        </w:rPr>
      </w:pPr>
    </w:p>
    <w:p w14:paraId="06285C9E" w14:textId="77777777" w:rsidR="00460D81" w:rsidRDefault="00460D81" w:rsidP="00460D81">
      <w:pPr>
        <w:spacing w:after="0" w:line="240" w:lineRule="auto"/>
        <w:jc w:val="center"/>
        <w:rPr>
          <w:rFonts w:ascii="Calibri" w:eastAsia="Calibri" w:hAnsi="Calibri" w:cs="Times New Roman"/>
          <w:b/>
          <w:bCs/>
          <w:sz w:val="56"/>
          <w:szCs w:val="56"/>
          <w:lang w:val="ro-RO"/>
        </w:rPr>
      </w:pPr>
    </w:p>
    <w:p w14:paraId="7B5BDBC8" w14:textId="633F157E" w:rsidR="00460D81" w:rsidRPr="00460D81" w:rsidRDefault="00460D81" w:rsidP="00460D81">
      <w:pPr>
        <w:spacing w:after="0" w:line="240" w:lineRule="auto"/>
        <w:jc w:val="center"/>
        <w:rPr>
          <w:rFonts w:ascii="Calibri" w:eastAsia="Calibri" w:hAnsi="Calibri" w:cs="Times New Roman"/>
          <w:b/>
          <w:bCs/>
          <w:sz w:val="56"/>
          <w:szCs w:val="56"/>
          <w:lang w:val="ro-RO"/>
        </w:rPr>
      </w:pPr>
      <w:r w:rsidRPr="00460D81">
        <w:rPr>
          <w:rFonts w:ascii="Calibri" w:eastAsia="Calibri" w:hAnsi="Calibri" w:cs="Times New Roman"/>
          <w:b/>
          <w:bCs/>
          <w:sz w:val="56"/>
          <w:szCs w:val="56"/>
          <w:lang w:val="ro-RO"/>
        </w:rPr>
        <w:t>D</w:t>
      </w:r>
    </w:p>
    <w:p w14:paraId="0E0B9473" w14:textId="77777777" w:rsidR="00460D81" w:rsidRPr="00460D81" w:rsidRDefault="00460D81" w:rsidP="00460D81">
      <w:pPr>
        <w:spacing w:after="0" w:line="240" w:lineRule="auto"/>
        <w:jc w:val="center"/>
        <w:rPr>
          <w:rFonts w:ascii="Calibri" w:eastAsia="Calibri" w:hAnsi="Calibri" w:cs="Calibri"/>
          <w:b/>
          <w:bCs/>
          <w:sz w:val="56"/>
          <w:szCs w:val="56"/>
          <w:lang w:val="ro-RO"/>
        </w:rPr>
      </w:pPr>
      <w:r w:rsidRPr="00460D81">
        <w:rPr>
          <w:rFonts w:ascii="Calibri" w:eastAsia="Calibri" w:hAnsi="Calibri" w:cs="Times New Roman"/>
          <w:b/>
          <w:bCs/>
          <w:sz w:val="56"/>
          <w:szCs w:val="56"/>
          <w:lang w:val="ro-RO"/>
        </w:rPr>
        <w:t xml:space="preserve">/        </w:t>
      </w:r>
      <w:r w:rsidRPr="00460D81">
        <w:rPr>
          <w:rFonts w:ascii="Calibri" w:eastAsia="Calibri" w:hAnsi="Calibri" w:cs="Calibri"/>
          <w:b/>
          <w:bCs/>
          <w:sz w:val="56"/>
          <w:szCs w:val="56"/>
          <w:lang w:val="ro-RO"/>
        </w:rPr>
        <w:t>\</w:t>
      </w:r>
    </w:p>
    <w:p w14:paraId="6D4ABEF1" w14:textId="77777777" w:rsidR="00460D81" w:rsidRPr="00460D81" w:rsidRDefault="00460D81" w:rsidP="00460D81">
      <w:pPr>
        <w:spacing w:after="0" w:line="240" w:lineRule="auto"/>
        <w:ind w:right="373"/>
        <w:contextualSpacing/>
        <w:jc w:val="center"/>
        <w:rPr>
          <w:rFonts w:ascii="Calibri" w:eastAsia="Calibri" w:hAnsi="Calibri" w:cs="Calibri"/>
          <w:b/>
          <w:bCs/>
          <w:sz w:val="56"/>
          <w:szCs w:val="56"/>
          <w:lang w:val="ro-RO"/>
        </w:rPr>
      </w:pPr>
      <w:r w:rsidRPr="00460D81">
        <w:rPr>
          <w:rFonts w:ascii="Calibri" w:eastAsia="Calibri" w:hAnsi="Calibri" w:cs="Calibri"/>
          <w:b/>
          <w:bCs/>
          <w:sz w:val="56"/>
          <w:szCs w:val="56"/>
          <w:lang w:val="ro-RO"/>
        </w:rPr>
        <w:t>S-A           B</w:t>
      </w:r>
    </w:p>
    <w:p w14:paraId="678C021C" w14:textId="77777777" w:rsidR="00460D81" w:rsidRPr="00460D81" w:rsidRDefault="00460D81" w:rsidP="00460D81">
      <w:pPr>
        <w:spacing w:after="0" w:line="240" w:lineRule="auto"/>
        <w:ind w:right="2216"/>
        <w:contextualSpacing/>
        <w:jc w:val="center"/>
        <w:rPr>
          <w:rFonts w:ascii="Calibri" w:eastAsia="Calibri" w:hAnsi="Calibri" w:cs="Calibri"/>
          <w:b/>
          <w:bCs/>
          <w:sz w:val="56"/>
          <w:szCs w:val="56"/>
          <w:lang w:val="ro-RO"/>
        </w:rPr>
      </w:pPr>
      <w:r w:rsidRPr="00460D81">
        <w:rPr>
          <w:rFonts w:ascii="Calibri" w:eastAsia="Calibri" w:hAnsi="Calibri" w:cs="Calibri"/>
          <w:b/>
          <w:bCs/>
          <w:sz w:val="56"/>
          <w:szCs w:val="56"/>
          <w:lang w:val="ro-RO"/>
        </w:rPr>
        <w:t xml:space="preserve">/                     </w:t>
      </w:r>
    </w:p>
    <w:p w14:paraId="4D143FA4" w14:textId="0139CF02" w:rsidR="00460D81" w:rsidRDefault="00460D81" w:rsidP="00460D81">
      <w:pPr>
        <w:spacing w:after="0" w:line="360" w:lineRule="auto"/>
        <w:ind w:left="2977"/>
        <w:rPr>
          <w:lang w:val="af-ZA"/>
        </w:rPr>
      </w:pPr>
      <w:r w:rsidRPr="00460D81">
        <w:rPr>
          <w:rFonts w:ascii="Calibri" w:eastAsia="Calibri" w:hAnsi="Calibri" w:cs="Calibri"/>
          <w:b/>
          <w:bCs/>
          <w:sz w:val="56"/>
          <w:szCs w:val="56"/>
          <w:lang w:val="ro-RO"/>
        </w:rPr>
        <w:t>A1</w:t>
      </w:r>
      <w:r w:rsidR="00DE62D4">
        <w:rPr>
          <w:lang w:val="af-ZA"/>
        </w:rPr>
        <w:tab/>
      </w:r>
      <w:r w:rsidR="00DE62D4">
        <w:rPr>
          <w:lang w:val="af-ZA"/>
        </w:rPr>
        <w:tab/>
      </w:r>
    </w:p>
    <w:p w14:paraId="121B83A4" w14:textId="77777777" w:rsidR="00460D81" w:rsidRDefault="00460D81">
      <w:pPr>
        <w:rPr>
          <w:lang w:val="af-ZA"/>
        </w:rPr>
      </w:pPr>
      <w:r>
        <w:rPr>
          <w:lang w:val="af-ZA"/>
        </w:rPr>
        <w:br w:type="page"/>
      </w:r>
    </w:p>
    <w:p w14:paraId="46D19658" w14:textId="77777777" w:rsidR="008120BF" w:rsidRPr="007F6803" w:rsidRDefault="008120BF" w:rsidP="007F6803">
      <w:pPr>
        <w:spacing w:after="0" w:line="360" w:lineRule="auto"/>
        <w:jc w:val="both"/>
        <w:rPr>
          <w:lang w:val="af-ZA"/>
        </w:rPr>
      </w:pPr>
    </w:p>
    <w:p w14:paraId="1CDA4B2D" w14:textId="77777777" w:rsidR="007F6803" w:rsidRPr="007F6803" w:rsidRDefault="007F6803" w:rsidP="007F6803">
      <w:pPr>
        <w:spacing w:after="0" w:line="360" w:lineRule="auto"/>
        <w:ind w:firstLine="720"/>
        <w:jc w:val="both"/>
        <w:rPr>
          <w:lang w:val="af-ZA"/>
        </w:rPr>
      </w:pPr>
    </w:p>
    <w:p w14:paraId="7C050458" w14:textId="0C4D5974" w:rsidR="006978D3" w:rsidRDefault="007F6803" w:rsidP="007F6803">
      <w:pPr>
        <w:spacing w:after="0" w:line="360" w:lineRule="auto"/>
        <w:ind w:firstLine="720"/>
        <w:jc w:val="both"/>
        <w:rPr>
          <w:lang w:val="af-ZA"/>
        </w:rPr>
      </w:pPr>
      <w:r w:rsidRPr="007F6803">
        <w:rPr>
          <w:lang w:val="af-ZA"/>
        </w:rPr>
        <w:t xml:space="preserve">Potrivit dispoziţiilor cuprinse în art. 665 c.c., reprezentare are loc la infinit în linie descendentă, iar potrivit art. 666 c.c., reprezentarea în linie colaterală este admisă numai pentru descendenţii anumitor colaterali, şi anume ai fraţilor şi surorilor defunctului. Prin urmare, legea limitând </w:t>
      </w:r>
      <w:proofErr w:type="spellStart"/>
      <w:r w:rsidRPr="007F6803">
        <w:rPr>
          <w:lang w:val="af-ZA"/>
        </w:rPr>
        <w:t>instituţ</w:t>
      </w:r>
      <w:r w:rsidR="00DE62D4">
        <w:rPr>
          <w:lang w:val="af-ZA"/>
        </w:rPr>
        <w:t>i</w:t>
      </w:r>
      <w:r w:rsidRPr="007F6803">
        <w:rPr>
          <w:lang w:val="af-ZA"/>
        </w:rPr>
        <w:t>a</w:t>
      </w:r>
      <w:proofErr w:type="spellEnd"/>
      <w:r w:rsidRPr="007F6803">
        <w:rPr>
          <w:lang w:val="af-ZA"/>
        </w:rPr>
        <w:t xml:space="preserve"> reprezentării la descendenţii direcţi şi descendenţii anumitor colaterali, instanţele, stabilind că şi soţul supravieţuitor al fiicei predecedate a defunctului vine la succesiunea acestuia prin reprezentarea soţiei sale, au nesocotit dispoziţiile legale enunţate, acesta neavând niciun drept la succesiunea socrului său </w:t>
      </w:r>
    </w:p>
    <w:p w14:paraId="4BB15EAC" w14:textId="1038AA0C" w:rsidR="006978D3" w:rsidRDefault="007F6803" w:rsidP="006978D3">
      <w:pPr>
        <w:spacing w:after="0" w:line="360" w:lineRule="auto"/>
        <w:ind w:firstLine="720"/>
        <w:jc w:val="center"/>
        <w:rPr>
          <w:lang w:val="af-ZA"/>
        </w:rPr>
      </w:pPr>
      <w:r w:rsidRPr="007F6803">
        <w:rPr>
          <w:lang w:val="af-ZA"/>
        </w:rPr>
        <w:t xml:space="preserve">TS civ., dec. 1568/6.XI.1968, în C.D. 1968.95-97 </w:t>
      </w:r>
      <w:proofErr w:type="spellStart"/>
      <w:r w:rsidRPr="007F6803">
        <w:rPr>
          <w:lang w:val="af-ZA"/>
        </w:rPr>
        <w:t>şi</w:t>
      </w:r>
      <w:proofErr w:type="spellEnd"/>
      <w:r w:rsidRPr="007F6803">
        <w:rPr>
          <w:lang w:val="af-ZA"/>
        </w:rPr>
        <w:t xml:space="preserve"> </w:t>
      </w:r>
      <w:proofErr w:type="spellStart"/>
      <w:r w:rsidRPr="007F6803">
        <w:rPr>
          <w:lang w:val="af-ZA"/>
        </w:rPr>
        <w:t>în</w:t>
      </w:r>
      <w:proofErr w:type="spellEnd"/>
      <w:r w:rsidRPr="007F6803">
        <w:rPr>
          <w:lang w:val="af-ZA"/>
        </w:rPr>
        <w:t xml:space="preserve"> RRD 4/1969.180-181</w:t>
      </w:r>
    </w:p>
    <w:p w14:paraId="39952CC7" w14:textId="250B3114" w:rsidR="006978D3" w:rsidRDefault="006978D3" w:rsidP="007F6803">
      <w:pPr>
        <w:spacing w:after="0" w:line="360" w:lineRule="auto"/>
        <w:ind w:firstLine="720"/>
        <w:jc w:val="both"/>
        <w:rPr>
          <w:lang w:val="af-ZA"/>
        </w:rPr>
      </w:pPr>
    </w:p>
    <w:p w14:paraId="39669506" w14:textId="77777777" w:rsidR="006978D3" w:rsidRDefault="006978D3" w:rsidP="007F6803">
      <w:pPr>
        <w:spacing w:after="0" w:line="360" w:lineRule="auto"/>
        <w:ind w:firstLine="720"/>
        <w:jc w:val="both"/>
        <w:rPr>
          <w:lang w:val="af-ZA"/>
        </w:rPr>
      </w:pPr>
    </w:p>
    <w:p w14:paraId="776DA49D" w14:textId="77777777" w:rsidR="006978D3" w:rsidRDefault="007F6803" w:rsidP="007F6803">
      <w:pPr>
        <w:spacing w:after="0" w:line="360" w:lineRule="auto"/>
        <w:ind w:firstLine="720"/>
        <w:jc w:val="both"/>
        <w:rPr>
          <w:lang w:val="af-ZA"/>
        </w:rPr>
      </w:pPr>
      <w:proofErr w:type="spellStart"/>
      <w:r w:rsidRPr="007F6803">
        <w:rPr>
          <w:lang w:val="af-ZA"/>
        </w:rPr>
        <w:t>Fiind</w:t>
      </w:r>
      <w:proofErr w:type="spellEnd"/>
      <w:r w:rsidRPr="007F6803">
        <w:rPr>
          <w:lang w:val="af-ZA"/>
        </w:rPr>
        <w:t xml:space="preserve"> de </w:t>
      </w:r>
      <w:proofErr w:type="spellStart"/>
      <w:r w:rsidRPr="007F6803">
        <w:rPr>
          <w:lang w:val="af-ZA"/>
        </w:rPr>
        <w:t>strictă</w:t>
      </w:r>
      <w:proofErr w:type="spellEnd"/>
      <w:r w:rsidRPr="007F6803">
        <w:rPr>
          <w:lang w:val="af-ZA"/>
        </w:rPr>
        <w:t xml:space="preserve"> </w:t>
      </w:r>
      <w:proofErr w:type="spellStart"/>
      <w:r w:rsidRPr="007F6803">
        <w:rPr>
          <w:lang w:val="af-ZA"/>
        </w:rPr>
        <w:t>interpretare</w:t>
      </w:r>
      <w:proofErr w:type="spellEnd"/>
      <w:r w:rsidRPr="007F6803">
        <w:rPr>
          <w:lang w:val="af-ZA"/>
        </w:rPr>
        <w:t xml:space="preserve">, reprezentarea – care constituie o excepţie şi o ficţiune a legii – trebuie mărginită la limitele strict prevăzute de aceasta. Textele citate nerecunoscând soţlui supravieţuitor posibilitatea dobândirii unor drepturi succesorale prin reprezentare, în mod nelegal s-a reţinut de </w:t>
      </w:r>
      <w:proofErr w:type="spellStart"/>
      <w:r w:rsidRPr="007F6803">
        <w:rPr>
          <w:lang w:val="af-ZA"/>
        </w:rPr>
        <w:t>către</w:t>
      </w:r>
      <w:proofErr w:type="spellEnd"/>
      <w:r w:rsidRPr="007F6803">
        <w:rPr>
          <w:lang w:val="af-ZA"/>
        </w:rPr>
        <w:t xml:space="preserve"> </w:t>
      </w:r>
      <w:proofErr w:type="spellStart"/>
      <w:r w:rsidRPr="007F6803">
        <w:rPr>
          <w:lang w:val="af-ZA"/>
        </w:rPr>
        <w:t>instanţe</w:t>
      </w:r>
      <w:proofErr w:type="spellEnd"/>
      <w:r w:rsidRPr="007F6803">
        <w:rPr>
          <w:lang w:val="af-ZA"/>
        </w:rPr>
        <w:t xml:space="preserve"> </w:t>
      </w:r>
      <w:proofErr w:type="spellStart"/>
      <w:r w:rsidRPr="007F6803">
        <w:rPr>
          <w:lang w:val="af-ZA"/>
        </w:rPr>
        <w:t>calitatea</w:t>
      </w:r>
      <w:proofErr w:type="spellEnd"/>
      <w:r w:rsidRPr="007F6803">
        <w:rPr>
          <w:lang w:val="af-ZA"/>
        </w:rPr>
        <w:t xml:space="preserve"> </w:t>
      </w:r>
      <w:proofErr w:type="spellStart"/>
      <w:r w:rsidRPr="007F6803">
        <w:rPr>
          <w:lang w:val="af-ZA"/>
        </w:rPr>
        <w:t>soţiei</w:t>
      </w:r>
      <w:proofErr w:type="spellEnd"/>
      <w:r w:rsidRPr="007F6803">
        <w:rPr>
          <w:lang w:val="af-ZA"/>
        </w:rPr>
        <w:t xml:space="preserve"> </w:t>
      </w:r>
      <w:proofErr w:type="spellStart"/>
      <w:r w:rsidRPr="007F6803">
        <w:rPr>
          <w:lang w:val="af-ZA"/>
        </w:rPr>
        <w:t>supravieţuitoare</w:t>
      </w:r>
      <w:proofErr w:type="spellEnd"/>
      <w:r w:rsidRPr="007F6803">
        <w:rPr>
          <w:lang w:val="af-ZA"/>
        </w:rPr>
        <w:t xml:space="preserve"> de </w:t>
      </w:r>
      <w:proofErr w:type="spellStart"/>
      <w:r w:rsidRPr="007F6803">
        <w:rPr>
          <w:lang w:val="af-ZA"/>
        </w:rPr>
        <w:t>succesoa</w:t>
      </w:r>
      <w:r w:rsidR="007A6C5C">
        <w:rPr>
          <w:lang w:val="af-ZA"/>
        </w:rPr>
        <w:t>r</w:t>
      </w:r>
      <w:r w:rsidRPr="007F6803">
        <w:rPr>
          <w:lang w:val="af-ZA"/>
        </w:rPr>
        <w:t>e</w:t>
      </w:r>
      <w:proofErr w:type="spellEnd"/>
      <w:r w:rsidRPr="007F6803">
        <w:rPr>
          <w:lang w:val="af-ZA"/>
        </w:rPr>
        <w:t xml:space="preserve">, </w:t>
      </w:r>
      <w:proofErr w:type="spellStart"/>
      <w:r w:rsidRPr="007F6803">
        <w:rPr>
          <w:lang w:val="af-ZA"/>
        </w:rPr>
        <w:t>prin</w:t>
      </w:r>
      <w:proofErr w:type="spellEnd"/>
      <w:r w:rsidRPr="007F6803">
        <w:rPr>
          <w:lang w:val="af-ZA"/>
        </w:rPr>
        <w:t xml:space="preserve"> </w:t>
      </w:r>
      <w:proofErr w:type="spellStart"/>
      <w:r w:rsidRPr="007F6803">
        <w:rPr>
          <w:lang w:val="af-ZA"/>
        </w:rPr>
        <w:t>reprezentarea</w:t>
      </w:r>
      <w:proofErr w:type="spellEnd"/>
      <w:r w:rsidRPr="007F6803">
        <w:rPr>
          <w:lang w:val="af-ZA"/>
        </w:rPr>
        <w:t xml:space="preserve"> </w:t>
      </w:r>
      <w:proofErr w:type="spellStart"/>
      <w:r w:rsidRPr="007F6803">
        <w:rPr>
          <w:lang w:val="af-ZA"/>
        </w:rPr>
        <w:t>soţului</w:t>
      </w:r>
      <w:proofErr w:type="spellEnd"/>
      <w:r w:rsidRPr="007F6803">
        <w:rPr>
          <w:lang w:val="af-ZA"/>
        </w:rPr>
        <w:t xml:space="preserve"> ei predecedat (fiul defunctului) </w:t>
      </w:r>
    </w:p>
    <w:p w14:paraId="7D82B398" w14:textId="7683456C" w:rsidR="007F6803" w:rsidRPr="007F6803" w:rsidRDefault="007F6803" w:rsidP="006978D3">
      <w:pPr>
        <w:spacing w:after="0" w:line="360" w:lineRule="auto"/>
        <w:ind w:firstLine="720"/>
        <w:jc w:val="center"/>
        <w:rPr>
          <w:lang w:val="af-ZA"/>
        </w:rPr>
      </w:pPr>
      <w:r w:rsidRPr="007F6803">
        <w:rPr>
          <w:lang w:val="af-ZA"/>
        </w:rPr>
        <w:t>TS civ., dec. 226/11.II.1986, în C.D. 1986.76-77 şi în RRD 11/1986.66</w:t>
      </w:r>
    </w:p>
    <w:sectPr w:rsidR="007F6803" w:rsidRPr="007F6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EF"/>
    <w:rsid w:val="001C381F"/>
    <w:rsid w:val="004265C8"/>
    <w:rsid w:val="00460D81"/>
    <w:rsid w:val="005B1EC4"/>
    <w:rsid w:val="006978D3"/>
    <w:rsid w:val="007A6C5C"/>
    <w:rsid w:val="007F6803"/>
    <w:rsid w:val="008120BF"/>
    <w:rsid w:val="008965EF"/>
    <w:rsid w:val="00D64C4E"/>
    <w:rsid w:val="00D83F1A"/>
    <w:rsid w:val="00DE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7792"/>
  <w15:chartTrackingRefBased/>
  <w15:docId w15:val="{E3A91034-379E-48C6-B060-B307EC68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Bob</dc:creator>
  <cp:keywords/>
  <dc:description/>
  <cp:lastModifiedBy>Mircea Bob</cp:lastModifiedBy>
  <cp:revision>6</cp:revision>
  <dcterms:created xsi:type="dcterms:W3CDTF">2018-03-30T07:28:00Z</dcterms:created>
  <dcterms:modified xsi:type="dcterms:W3CDTF">2020-03-23T08:38:00Z</dcterms:modified>
</cp:coreProperties>
</file>