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3F" w:rsidRPr="004B5331" w:rsidRDefault="00281F3F" w:rsidP="00281F3F">
      <w:pPr>
        <w:spacing w:after="0" w:line="360" w:lineRule="auto"/>
        <w:ind w:firstLine="720"/>
        <w:rPr>
          <w:lang w:val="af-ZA"/>
        </w:rPr>
      </w:pPr>
    </w:p>
    <w:p w:rsidR="00281F3F" w:rsidRPr="004B5331" w:rsidRDefault="00281F3F" w:rsidP="00281F3F">
      <w:pPr>
        <w:spacing w:after="0" w:line="360" w:lineRule="auto"/>
        <w:ind w:firstLine="720"/>
        <w:rPr>
          <w:lang w:val="af-ZA"/>
        </w:rPr>
      </w:pPr>
    </w:p>
    <w:p w:rsidR="00281F3F" w:rsidRPr="004B5331" w:rsidRDefault="00281F3F" w:rsidP="00281F3F">
      <w:pPr>
        <w:spacing w:after="0" w:line="360" w:lineRule="auto"/>
        <w:ind w:firstLine="720"/>
        <w:rPr>
          <w:lang w:val="af-ZA"/>
        </w:rPr>
      </w:pPr>
      <w:r w:rsidRPr="004B5331">
        <w:rPr>
          <w:lang w:val="af-ZA"/>
        </w:rPr>
        <w:t xml:space="preserve">„Forma </w:t>
      </w:r>
      <w:r w:rsidRPr="004B5331">
        <w:rPr>
          <w:i/>
          <w:lang w:val="af-ZA"/>
        </w:rPr>
        <w:t>olografă</w:t>
      </w:r>
      <w:r w:rsidRPr="004B5331">
        <w:rPr>
          <w:lang w:val="af-ZA"/>
        </w:rPr>
        <w:t xml:space="preserve"> care constă în scrierea în întreg, datarea şi semnarea cu mâna testatorului, e forma cea mai simplă şi tot odată cea mai personală în care omul îşi poate manifesta ultima sa voinţă, cea în care gândul testatorului se oglindeşte în chip mai original şi mai neatârnat.” (M.B. Cantacuzino, </w:t>
      </w:r>
      <w:r w:rsidRPr="004B5331">
        <w:rPr>
          <w:i/>
          <w:lang w:val="af-ZA"/>
        </w:rPr>
        <w:t>Curs de drept civil</w:t>
      </w:r>
      <w:r w:rsidRPr="004B5331">
        <w:rPr>
          <w:lang w:val="af-ZA"/>
        </w:rPr>
        <w:t xml:space="preserve">, [1925], p. 364) </w:t>
      </w:r>
    </w:p>
    <w:p w:rsidR="00281F3F" w:rsidRPr="004B5331" w:rsidRDefault="00281F3F" w:rsidP="00281F3F">
      <w:pPr>
        <w:spacing w:after="0" w:line="360" w:lineRule="auto"/>
        <w:rPr>
          <w:lang w:val="af-ZA"/>
        </w:rPr>
      </w:pPr>
    </w:p>
    <w:p w:rsidR="00281F3F" w:rsidRPr="004B5331" w:rsidRDefault="00281F3F" w:rsidP="00281F3F">
      <w:pPr>
        <w:spacing w:after="0" w:line="360" w:lineRule="auto"/>
        <w:jc w:val="center"/>
        <w:rPr>
          <w:lang w:val="af-ZA"/>
        </w:rPr>
      </w:pPr>
    </w:p>
    <w:p w:rsidR="00281F3F" w:rsidRPr="004B5331" w:rsidRDefault="00281F3F" w:rsidP="00281F3F">
      <w:pPr>
        <w:spacing w:after="0" w:line="360" w:lineRule="auto"/>
        <w:jc w:val="center"/>
        <w:rPr>
          <w:lang w:val="af-ZA"/>
        </w:rPr>
      </w:pPr>
      <w:r w:rsidRPr="004B5331">
        <w:rPr>
          <w:lang w:val="af-ZA"/>
        </w:rPr>
        <w:t>Paradis c. Groleau-Roberge, (1999) R.J.Q. 2585 (C.A.)</w:t>
      </w:r>
    </w:p>
    <w:p w:rsidR="00281F3F" w:rsidRPr="004B5331" w:rsidRDefault="00281F3F" w:rsidP="00281F3F">
      <w:pPr>
        <w:spacing w:after="0" w:line="360" w:lineRule="auto"/>
        <w:ind w:firstLine="720"/>
        <w:rPr>
          <w:lang w:val="af-ZA"/>
        </w:rPr>
      </w:pPr>
      <w:r w:rsidRPr="004B5331">
        <w:rPr>
          <w:lang w:val="af-ZA"/>
        </w:rPr>
        <w:t>Faptul că testamentul olograf trebuie să fie scris de către testator este o condiţie esenţială  cerută de forma sa, iar un document care este scris de către un terţ nu o satisface în aspectele sale esenţiale.</w:t>
      </w:r>
    </w:p>
    <w:p w:rsidR="00281F3F" w:rsidRPr="004B5331" w:rsidRDefault="00281F3F" w:rsidP="00281F3F">
      <w:pPr>
        <w:spacing w:after="0" w:line="360" w:lineRule="auto"/>
        <w:rPr>
          <w:lang w:val="af-ZA"/>
        </w:rPr>
      </w:pPr>
    </w:p>
    <w:p w:rsidR="00281F3F" w:rsidRPr="004B5331" w:rsidRDefault="00281F3F" w:rsidP="00281F3F">
      <w:pPr>
        <w:spacing w:after="0" w:line="360" w:lineRule="auto"/>
        <w:rPr>
          <w:lang w:val="af-ZA"/>
        </w:rPr>
      </w:pPr>
    </w:p>
    <w:p w:rsidR="00281F3F" w:rsidRPr="004B5331" w:rsidRDefault="00281F3F" w:rsidP="002509A7">
      <w:pPr>
        <w:spacing w:after="0" w:line="360" w:lineRule="auto"/>
        <w:jc w:val="center"/>
        <w:rPr>
          <w:rFonts w:cs="Calibri"/>
          <w:lang w:val="af-ZA"/>
        </w:rPr>
      </w:pPr>
      <w:r w:rsidRPr="004B5331">
        <w:rPr>
          <w:rFonts w:cs="Calibri"/>
          <w:lang w:val="af-ZA"/>
        </w:rPr>
        <w:t>C.Ap. Bucureşti IV civ., dec. 898/14.VI.2010</w:t>
      </w:r>
      <w:bookmarkStart w:id="0" w:name="_GoBack"/>
      <w:bookmarkEnd w:id="0"/>
    </w:p>
    <w:p w:rsidR="00281F3F" w:rsidRPr="004B5331" w:rsidRDefault="004B5331" w:rsidP="00281F3F">
      <w:pPr>
        <w:spacing w:after="0" w:line="360" w:lineRule="auto"/>
        <w:rPr>
          <w:rFonts w:cs="Calibri"/>
          <w:lang w:val="af-ZA"/>
        </w:rPr>
      </w:pPr>
      <w:r w:rsidRPr="005E34F3">
        <w:rPr>
          <w:rFonts w:cs="Calibri"/>
          <w:noProof/>
          <w:lang w:val="it-IT"/>
        </w:rPr>
        <w:t xml:space="preserve">                         </w:t>
      </w:r>
      <w:r w:rsidRPr="004B5331">
        <w:rPr>
          <w:rFonts w:cs="Calibri"/>
          <w:noProof/>
        </w:rPr>
        <w:drawing>
          <wp:inline distT="0" distB="0" distL="0" distR="0" wp14:anchorId="50B4239A" wp14:editId="29C6B01A">
            <wp:extent cx="4203510" cy="2171249"/>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1545" cy="2175399"/>
                    </a:xfrm>
                    <a:prstGeom prst="rect">
                      <a:avLst/>
                    </a:prstGeom>
                    <a:noFill/>
                    <a:ln>
                      <a:noFill/>
                    </a:ln>
                  </pic:spPr>
                </pic:pic>
              </a:graphicData>
            </a:graphic>
          </wp:inline>
        </w:drawing>
      </w:r>
    </w:p>
    <w:p w:rsidR="00281F3F" w:rsidRPr="004B5331" w:rsidRDefault="00281F3F" w:rsidP="00281F3F">
      <w:pPr>
        <w:spacing w:after="0" w:line="360" w:lineRule="auto"/>
        <w:rPr>
          <w:rFonts w:cs="Calibri"/>
          <w:lang w:val="af-ZA"/>
        </w:rPr>
      </w:pPr>
    </w:p>
    <w:p w:rsidR="00281F3F" w:rsidRPr="004B5331" w:rsidRDefault="00281F3F" w:rsidP="00281F3F">
      <w:pPr>
        <w:spacing w:after="0" w:line="360" w:lineRule="auto"/>
        <w:jc w:val="center"/>
        <w:rPr>
          <w:lang w:val="af-ZA"/>
        </w:rPr>
      </w:pPr>
      <w:r w:rsidRPr="004B5331">
        <w:rPr>
          <w:lang w:val="af-ZA"/>
        </w:rPr>
        <w:t>Didone c. Didone-Gagnon, J.E. 94-1772 (C.A.)</w:t>
      </w:r>
    </w:p>
    <w:p w:rsidR="00281F3F" w:rsidRPr="004B5331" w:rsidRDefault="00281F3F" w:rsidP="00281F3F">
      <w:pPr>
        <w:spacing w:after="0" w:line="360" w:lineRule="auto"/>
        <w:ind w:firstLine="720"/>
        <w:jc w:val="both"/>
        <w:rPr>
          <w:lang w:val="af-ZA"/>
        </w:rPr>
      </w:pPr>
      <w:r w:rsidRPr="004B5331">
        <w:rPr>
          <w:lang w:val="af-ZA"/>
        </w:rPr>
        <w:t>[…] ghidarea mâinii testatoarei nu pusese în pericol caracterul liber şi voluntar al semnăturii acesteia, care era bolnavă şi întâmpina dificultăţi în scriere.</w:t>
      </w:r>
    </w:p>
    <w:p w:rsidR="00281F3F" w:rsidRPr="004B5331" w:rsidRDefault="00281F3F" w:rsidP="00281F3F">
      <w:pPr>
        <w:spacing w:after="0" w:line="360" w:lineRule="auto"/>
        <w:rPr>
          <w:lang w:val="af-ZA"/>
        </w:rPr>
      </w:pPr>
    </w:p>
    <w:p w:rsidR="00281F3F" w:rsidRPr="004B5331" w:rsidRDefault="00281F3F" w:rsidP="00281F3F">
      <w:pPr>
        <w:spacing w:after="0" w:line="360" w:lineRule="auto"/>
        <w:rPr>
          <w:lang w:val="af-ZA"/>
        </w:rPr>
      </w:pPr>
    </w:p>
    <w:p w:rsidR="00281F3F" w:rsidRPr="004B5331" w:rsidRDefault="00281F3F" w:rsidP="00281F3F">
      <w:pPr>
        <w:spacing w:after="0" w:line="360" w:lineRule="auto"/>
        <w:jc w:val="center"/>
        <w:rPr>
          <w:lang w:val="af-ZA"/>
        </w:rPr>
      </w:pPr>
      <w:r w:rsidRPr="004B5331">
        <w:rPr>
          <w:lang w:val="af-ZA"/>
        </w:rPr>
        <w:t>Cass.civ. I, dec. din 9.I.2008</w:t>
      </w:r>
    </w:p>
    <w:p w:rsidR="00281F3F" w:rsidRPr="004B5331" w:rsidRDefault="00281F3F" w:rsidP="00281F3F">
      <w:pPr>
        <w:spacing w:after="0" w:line="360" w:lineRule="auto"/>
        <w:ind w:firstLine="720"/>
        <w:jc w:val="both"/>
        <w:rPr>
          <w:lang w:val="af-ZA"/>
        </w:rPr>
      </w:pPr>
      <w:r w:rsidRPr="004B5331">
        <w:rPr>
          <w:lang w:val="af-ZA"/>
        </w:rPr>
        <w:lastRenderedPageBreak/>
        <w:t>[…] testatoarea, debilă mintal din naştere şi având capacităţi intelectuale limitate, chiar dacă înţelegea scopul unui testament, nu era capabilă să ia iniţiativa de a testa, nici să-i conceapă conţinutul şi să-l scrie singură. Judecătorii au constatat deci nulitatea actului în care scrisese cu pixul peste un text deja scris cu creionul de către tatăl ei.</w:t>
      </w:r>
    </w:p>
    <w:p w:rsidR="00281F3F" w:rsidRPr="004B5331" w:rsidRDefault="00281F3F" w:rsidP="00281F3F">
      <w:pPr>
        <w:spacing w:after="0" w:line="360" w:lineRule="auto"/>
        <w:rPr>
          <w:lang w:val="af-ZA"/>
        </w:rPr>
      </w:pPr>
    </w:p>
    <w:p w:rsidR="00281F3F" w:rsidRPr="004B5331" w:rsidRDefault="00281F3F" w:rsidP="00281F3F">
      <w:pPr>
        <w:spacing w:after="0" w:line="360" w:lineRule="auto"/>
        <w:rPr>
          <w:lang w:val="af-ZA"/>
        </w:rPr>
      </w:pPr>
    </w:p>
    <w:p w:rsidR="00281F3F" w:rsidRPr="004B5331" w:rsidRDefault="00281F3F" w:rsidP="00281F3F">
      <w:pPr>
        <w:spacing w:after="0" w:line="360" w:lineRule="auto"/>
        <w:jc w:val="center"/>
        <w:rPr>
          <w:lang w:val="af-ZA"/>
        </w:rPr>
      </w:pPr>
      <w:r w:rsidRPr="004B5331">
        <w:rPr>
          <w:lang w:val="af-ZA"/>
        </w:rPr>
        <w:t>Elias Grünberg. Obs. critică la dec. din 29.II.1932 a C.Ap. Aix, în Jur.Gen. 1932.32.1018</w:t>
      </w:r>
    </w:p>
    <w:p w:rsidR="00281F3F" w:rsidRPr="004B5331" w:rsidRDefault="00281F3F" w:rsidP="00281F3F">
      <w:pPr>
        <w:spacing w:after="0" w:line="360" w:lineRule="auto"/>
        <w:ind w:firstLine="720"/>
        <w:jc w:val="both"/>
        <w:rPr>
          <w:lang w:val="af-ZA"/>
        </w:rPr>
      </w:pPr>
      <w:r w:rsidRPr="004B5331">
        <w:rPr>
          <w:lang w:val="af-ZA"/>
        </w:rPr>
        <w:t>Art. 859 c.c. nu limitează instrumentele de scriere, iar printr-o expertiză s-ar putea stabili dacă testatorul cunoştea dactilografia şi s-ar putea identifica autorul după cum apăsarea este mai uşoară sau mai puternică. (</w:t>
      </w:r>
      <w:r w:rsidRPr="004B5331">
        <w:rPr>
          <w:i/>
          <w:lang w:val="af-ZA"/>
        </w:rPr>
        <w:t>sic!</w:t>
      </w:r>
      <w:r w:rsidRPr="004B5331">
        <w:rPr>
          <w:lang w:val="af-ZA"/>
        </w:rPr>
        <w:t>)</w:t>
      </w:r>
    </w:p>
    <w:p w:rsidR="00281F3F" w:rsidRPr="004B5331" w:rsidRDefault="00281F3F" w:rsidP="00281F3F">
      <w:pPr>
        <w:spacing w:after="0" w:line="360" w:lineRule="auto"/>
        <w:rPr>
          <w:lang w:val="af-ZA"/>
        </w:rPr>
      </w:pPr>
    </w:p>
    <w:p w:rsidR="00281F3F" w:rsidRPr="004B5331" w:rsidRDefault="00281F3F" w:rsidP="00281F3F">
      <w:pPr>
        <w:spacing w:after="0" w:line="360" w:lineRule="auto"/>
        <w:rPr>
          <w:lang w:val="af-ZA"/>
        </w:rPr>
      </w:pPr>
    </w:p>
    <w:p w:rsidR="00281F3F" w:rsidRPr="004B5331" w:rsidRDefault="00281F3F" w:rsidP="00281F3F">
      <w:pPr>
        <w:spacing w:after="0" w:line="360" w:lineRule="auto"/>
        <w:jc w:val="center"/>
        <w:rPr>
          <w:lang w:val="af-ZA"/>
        </w:rPr>
      </w:pPr>
      <w:r w:rsidRPr="004B5331">
        <w:rPr>
          <w:lang w:val="af-ZA"/>
        </w:rPr>
        <w:t xml:space="preserve">Louis Josserand, </w:t>
      </w:r>
      <w:r w:rsidRPr="004B5331">
        <w:rPr>
          <w:i/>
          <w:lang w:val="af-ZA"/>
        </w:rPr>
        <w:t>La désolennisation des libéralités</w:t>
      </w:r>
      <w:r w:rsidRPr="004B5331">
        <w:rPr>
          <w:lang w:val="af-ZA"/>
        </w:rPr>
        <w:t>, în DH 1932.Chron.74 şi 76</w:t>
      </w:r>
    </w:p>
    <w:p w:rsidR="00281F3F" w:rsidRPr="004B5331" w:rsidRDefault="00281F3F" w:rsidP="00281F3F">
      <w:pPr>
        <w:spacing w:after="0" w:line="360" w:lineRule="auto"/>
        <w:ind w:firstLine="720"/>
        <w:jc w:val="both"/>
        <w:rPr>
          <w:lang w:val="af-ZA"/>
        </w:rPr>
      </w:pPr>
      <w:r w:rsidRPr="004B5331">
        <w:rPr>
          <w:lang w:val="af-ZA"/>
        </w:rPr>
        <w:t>„Motivele care au dus la instituirea formalismului rămân valabile astăzi ca şi în trecut, şi mai ales dubla preocupare de a asigura concomitent cu libertatea, independenţa testatorului, verificarea lesnicioasă şi sigură a originii testamentului. [...] într-o astfel de materie, o libertate extremă ar însemna ruinarea libertăţii ... Uşurinţa de a testa nu trebuie să devină uşurinţa de a frauda”.</w:t>
      </w:r>
    </w:p>
    <w:p w:rsidR="00281F3F" w:rsidRPr="004B5331" w:rsidRDefault="00281F3F" w:rsidP="00281F3F">
      <w:pPr>
        <w:spacing w:after="0" w:line="360" w:lineRule="auto"/>
        <w:jc w:val="both"/>
        <w:rPr>
          <w:lang w:val="af-ZA"/>
        </w:rPr>
      </w:pPr>
    </w:p>
    <w:p w:rsidR="00281F3F" w:rsidRPr="004B5331" w:rsidRDefault="00281F3F" w:rsidP="00281F3F">
      <w:pPr>
        <w:spacing w:after="0" w:line="360" w:lineRule="auto"/>
        <w:ind w:firstLine="720"/>
        <w:jc w:val="both"/>
        <w:rPr>
          <w:lang w:val="af-ZA"/>
        </w:rPr>
      </w:pPr>
    </w:p>
    <w:p w:rsidR="00281F3F" w:rsidRPr="004B5331" w:rsidRDefault="00281F3F" w:rsidP="00281F3F">
      <w:pPr>
        <w:spacing w:after="0" w:line="360" w:lineRule="auto"/>
        <w:jc w:val="center"/>
        <w:rPr>
          <w:lang w:val="af-ZA"/>
        </w:rPr>
      </w:pPr>
      <w:r w:rsidRPr="004B5331">
        <w:rPr>
          <w:lang w:val="af-ZA"/>
        </w:rPr>
        <w:t>CSJ civ., dec. 2203/31.V.2002, în PR 2/2003.145-146</w:t>
      </w:r>
    </w:p>
    <w:p w:rsidR="00281F3F" w:rsidRPr="004B5331" w:rsidRDefault="00281F3F" w:rsidP="00281F3F">
      <w:pPr>
        <w:spacing w:after="0" w:line="360" w:lineRule="auto"/>
        <w:ind w:firstLine="720"/>
        <w:jc w:val="both"/>
        <w:rPr>
          <w:lang w:val="af-ZA"/>
        </w:rPr>
      </w:pPr>
      <w:r w:rsidRPr="004B5331">
        <w:rPr>
          <w:lang w:val="af-ZA"/>
        </w:rPr>
        <w:t>Înscrisurile analizate nu au nici valoarea unui act de ultimă voinţă a defunctei, adică a unui testament, deoarece, pentru a fi valabil, el trebuia să întrunească cumulativ cerinţele prevăzute în art. 859 c.c., proprii testamentului olograf, anume să fie scris, datat şi semnat de mâna testatorului, autorul actului. Înscrisurile din dosar sunt dactilografiate, inclusiv data (la una dintre ele data fiind incompletă) şi poartă doar semnătura defunctei, care probabil îi aparţine, dar care este insuficientă, în lipsa scrierii şi a datării de autoare pentru ca actul să constituie un testament valabil.</w:t>
      </w:r>
    </w:p>
    <w:p w:rsidR="00281F3F" w:rsidRPr="004B5331" w:rsidRDefault="00281F3F" w:rsidP="00281F3F">
      <w:pPr>
        <w:spacing w:after="0" w:line="360" w:lineRule="auto"/>
        <w:jc w:val="both"/>
        <w:rPr>
          <w:lang w:val="af-ZA"/>
        </w:rPr>
      </w:pPr>
    </w:p>
    <w:p w:rsidR="00281F3F" w:rsidRPr="004B5331" w:rsidRDefault="00281F3F" w:rsidP="00281F3F">
      <w:pPr>
        <w:spacing w:after="0" w:line="360" w:lineRule="auto"/>
        <w:jc w:val="both"/>
        <w:rPr>
          <w:lang w:val="af-ZA"/>
        </w:rPr>
      </w:pPr>
    </w:p>
    <w:p w:rsidR="00281F3F" w:rsidRPr="004B5331" w:rsidRDefault="00281F3F" w:rsidP="00281F3F">
      <w:pPr>
        <w:spacing w:after="0" w:line="360" w:lineRule="auto"/>
        <w:jc w:val="center"/>
        <w:rPr>
          <w:lang w:val="af-ZA"/>
        </w:rPr>
      </w:pPr>
      <w:r w:rsidRPr="004B5331">
        <w:rPr>
          <w:lang w:val="af-ZA"/>
        </w:rPr>
        <w:t>Req., dec. din 9.XI.1814 şi dec. din 22.XI.1870</w:t>
      </w:r>
    </w:p>
    <w:p w:rsidR="00281F3F" w:rsidRPr="004B5331" w:rsidRDefault="00281F3F" w:rsidP="00281F3F">
      <w:pPr>
        <w:spacing w:after="0" w:line="360" w:lineRule="auto"/>
        <w:ind w:firstLine="720"/>
        <w:jc w:val="both"/>
        <w:rPr>
          <w:lang w:val="af-ZA"/>
        </w:rPr>
      </w:pPr>
      <w:r w:rsidRPr="004B5331">
        <w:rPr>
          <w:lang w:val="af-ZA"/>
        </w:rPr>
        <w:t>Prin dată, în sensul art. 970 CN (art. 859 c.c./1041 civ.), se înţelege o înscriere care cuprinde indicarea zilei, lunii şi anului, nefiind necesară precizarea orei şi locului testării.</w:t>
      </w:r>
    </w:p>
    <w:p w:rsidR="00281F3F" w:rsidRPr="004B5331" w:rsidRDefault="00281F3F" w:rsidP="00281F3F">
      <w:pPr>
        <w:spacing w:after="0" w:line="360" w:lineRule="auto"/>
        <w:jc w:val="both"/>
        <w:rPr>
          <w:lang w:val="af-ZA"/>
        </w:rPr>
      </w:pPr>
    </w:p>
    <w:p w:rsidR="00281F3F" w:rsidRPr="004B5331" w:rsidRDefault="00281F3F" w:rsidP="00281F3F">
      <w:pPr>
        <w:spacing w:after="0" w:line="360" w:lineRule="auto"/>
        <w:jc w:val="both"/>
        <w:rPr>
          <w:lang w:val="af-ZA"/>
        </w:rPr>
      </w:pPr>
    </w:p>
    <w:p w:rsidR="00281F3F" w:rsidRPr="004B5331" w:rsidRDefault="00281F3F" w:rsidP="00281F3F">
      <w:pPr>
        <w:spacing w:after="0" w:line="360" w:lineRule="auto"/>
        <w:jc w:val="center"/>
        <w:rPr>
          <w:lang w:val="af-ZA"/>
        </w:rPr>
      </w:pPr>
      <w:r w:rsidRPr="004B5331">
        <w:rPr>
          <w:lang w:val="af-ZA"/>
        </w:rPr>
        <w:t>Cas. I, dec. 421/2 octombrie 1905</w:t>
      </w:r>
    </w:p>
    <w:p w:rsidR="00281F3F" w:rsidRPr="004B5331" w:rsidRDefault="00281F3F" w:rsidP="00281F3F">
      <w:pPr>
        <w:spacing w:after="0" w:line="360" w:lineRule="auto"/>
        <w:ind w:firstLine="720"/>
        <w:jc w:val="both"/>
        <w:rPr>
          <w:lang w:val="af-ZA"/>
        </w:rPr>
      </w:pPr>
      <w:r w:rsidRPr="004B5331">
        <w:rPr>
          <w:lang w:val="af-ZA"/>
        </w:rPr>
        <w:t>Data fiind un element esenţial al testamentului olograf, lipsa ei atrage nulitatea testamentului. O dată greşită sau incompletă nu este însă tot una cu lipsa de dată şi nu poate avea întotdeauna drept consecinţă anularea testamentului. Astfel, dacă judecătorii de fond constată că data testamentului este inexactă nu din cauza voinţei testatorului, ci numai din cauza nebăgării sale de seamă şi dacă pe lângă aceasta se poate îndrepta eroarea şi fixa în mod sigur data cu ajutorul dispoziţiilor din testament sau a altor fapte sau probe, chiar afară din testament, dar care sunt în strânsă legătură şi dau înţelesul dispoziţiilor din testament, atunci nu mai este nici un motiv a se anula testamentul.</w:t>
      </w:r>
    </w:p>
    <w:p w:rsidR="00281F3F" w:rsidRPr="004B5331" w:rsidRDefault="00281F3F" w:rsidP="00281F3F">
      <w:pPr>
        <w:spacing w:after="0" w:line="360" w:lineRule="auto"/>
        <w:jc w:val="both"/>
        <w:rPr>
          <w:lang w:val="af-ZA"/>
        </w:rPr>
      </w:pPr>
    </w:p>
    <w:p w:rsidR="00281F3F" w:rsidRPr="004B5331" w:rsidRDefault="00281F3F" w:rsidP="00281F3F">
      <w:pPr>
        <w:spacing w:after="0" w:line="360" w:lineRule="auto"/>
        <w:jc w:val="both"/>
        <w:rPr>
          <w:lang w:val="af-ZA"/>
        </w:rPr>
      </w:pPr>
    </w:p>
    <w:p w:rsidR="00281F3F" w:rsidRPr="004B5331" w:rsidRDefault="00281F3F" w:rsidP="00281F3F">
      <w:pPr>
        <w:spacing w:after="0" w:line="360" w:lineRule="auto"/>
        <w:jc w:val="center"/>
        <w:rPr>
          <w:lang w:val="af-ZA"/>
        </w:rPr>
      </w:pPr>
      <w:r w:rsidRPr="004B5331">
        <w:rPr>
          <w:lang w:val="af-ZA"/>
        </w:rPr>
        <w:t>Trib. Prahova s.I, sent.civ. 223/16 mai 1927</w:t>
      </w:r>
    </w:p>
    <w:p w:rsidR="00281F3F" w:rsidRPr="004B5331" w:rsidRDefault="00281F3F" w:rsidP="00281F3F">
      <w:pPr>
        <w:spacing w:after="0" w:line="360" w:lineRule="auto"/>
        <w:ind w:firstLine="720"/>
        <w:jc w:val="both"/>
        <w:rPr>
          <w:lang w:val="af-ZA"/>
        </w:rPr>
      </w:pPr>
      <w:r w:rsidRPr="004B5331">
        <w:rPr>
          <w:lang w:val="af-ZA"/>
        </w:rPr>
        <w:t>Împrejurarea că un testament olograf, scris de un militar de pe front pe o carte poştală, este lipsit de dată din cauza instrucţiunilor militare care interziceau ostaşilor în timpul războiului să pună data şi localitatea de unde scriau, nu poate dispensa testamentul de condiţia datei, întrucât, legiuitorul prevăzând atât pentru testamentele obişnuite cât şi pentru cele excepţionale anumite condiţii de formă, aceste condiţii trebuiesc îndeplinite, indiferent de forma la care a recurs testatorul pentru a-şi redacta actul său.</w:t>
      </w:r>
    </w:p>
    <w:p w:rsidR="00281F3F" w:rsidRPr="004B5331" w:rsidRDefault="00281F3F" w:rsidP="00281F3F">
      <w:pPr>
        <w:spacing w:after="0" w:line="360" w:lineRule="auto"/>
        <w:ind w:firstLine="720"/>
        <w:jc w:val="both"/>
        <w:rPr>
          <w:lang w:val="af-ZA"/>
        </w:rPr>
      </w:pPr>
      <w:r w:rsidRPr="004B5331">
        <w:rPr>
          <w:lang w:val="af-ZA"/>
        </w:rPr>
        <w:t xml:space="preserve">Deşi după art. 859 C.civ. data este, ca şi scrierea şi subscrierea testatorului, o condiţie de validitate a testamentului olograf, totuşi raţiunea datei fiind de a se stabili dacă testatorul a fost capabil în acel moment şi, în caz de pluralitate de testamente cu dispoziţii contrarii, de a se şti care e cel din urmă şi a revoca pe celelalte, înseamnă că data nu mai e necesară şi poate chiar lipsi când e necontestat că testatorul a fost capabil şi că nu a mai lăsat nici un alt testament decât cel în discuţie. </w:t>
      </w:r>
    </w:p>
    <w:p w:rsidR="00281F3F" w:rsidRPr="004B5331" w:rsidRDefault="00281F3F" w:rsidP="00281F3F">
      <w:pPr>
        <w:spacing w:after="0" w:line="360" w:lineRule="auto"/>
        <w:jc w:val="both"/>
        <w:rPr>
          <w:lang w:val="af-ZA"/>
        </w:rPr>
      </w:pPr>
    </w:p>
    <w:p w:rsidR="00281F3F" w:rsidRPr="004B5331" w:rsidRDefault="00281F3F" w:rsidP="00281F3F">
      <w:pPr>
        <w:spacing w:after="0" w:line="360" w:lineRule="auto"/>
        <w:jc w:val="both"/>
        <w:rPr>
          <w:lang w:val="af-ZA"/>
        </w:rPr>
      </w:pPr>
    </w:p>
    <w:p w:rsidR="00281F3F" w:rsidRPr="004B5331" w:rsidRDefault="00281F3F" w:rsidP="00281F3F">
      <w:pPr>
        <w:spacing w:after="0" w:line="360" w:lineRule="auto"/>
        <w:jc w:val="center"/>
        <w:rPr>
          <w:lang w:val="af-ZA"/>
        </w:rPr>
      </w:pPr>
      <w:r w:rsidRPr="004B5331">
        <w:rPr>
          <w:lang w:val="af-ZA"/>
        </w:rPr>
        <w:t>Trib.pop. raion 1 mai Bucureşti, sent.civ. 327/ 19 ianuarie 1959</w:t>
      </w:r>
    </w:p>
    <w:p w:rsidR="00281F3F" w:rsidRPr="004B5331" w:rsidRDefault="00281F3F" w:rsidP="00281F3F">
      <w:pPr>
        <w:spacing w:after="0" w:line="360" w:lineRule="auto"/>
        <w:ind w:firstLine="720"/>
        <w:jc w:val="both"/>
        <w:rPr>
          <w:lang w:val="af-ZA"/>
        </w:rPr>
      </w:pPr>
      <w:r w:rsidRPr="004B5331">
        <w:rPr>
          <w:lang w:val="af-ZA"/>
        </w:rPr>
        <w:t xml:space="preserve">Deşi incomplet datat, este valabil, putându-se stabili când a fost întocmit. [...] Reiese din numeroase scrisori primite de petiţionară de la A.H. că acesta menţiona în mod obişnuit ca dată numai ziua conceptării corespondenţei şi anume ziua din săptămână când a scris scrisoarea. În acelaşi fel a fost datată şi cartea poştală în care se cuprinde testamentul în discuţie. Această carte poştală poartă şi ştampila oficiului poştal din Bucureşti, Gara de Nord, cu data de 7 ianuarie 1937, iar decesul lui A.H. a avut loc la 15 ianuarie 1937, consecutiv operaţiei la care a fost supus. În consecinţă, tribunalul constată că </w:t>
      </w:r>
      <w:r w:rsidRPr="004B5331">
        <w:rPr>
          <w:lang w:val="af-ZA"/>
        </w:rPr>
        <w:lastRenderedPageBreak/>
        <w:t>testamentul a fost datat de A.H. în stilul său propriu, utilizat de acesta în întreaga sa corespondenţă şi că, faţă de existenţa elementelor de fapt ce stabilesc cu mare aproximaţie ziua conceptării testamentului olograf, acesta este valabil, întrunind condiţiile cerute de art. 859 C.civ.</w:t>
      </w:r>
    </w:p>
    <w:p w:rsidR="00281F3F" w:rsidRPr="004B5331" w:rsidRDefault="00281F3F" w:rsidP="00281F3F">
      <w:pPr>
        <w:spacing w:after="0" w:line="360" w:lineRule="auto"/>
        <w:jc w:val="both"/>
        <w:rPr>
          <w:lang w:val="af-ZA"/>
        </w:rPr>
      </w:pPr>
    </w:p>
    <w:p w:rsidR="00281F3F" w:rsidRPr="004B5331" w:rsidRDefault="00281F3F" w:rsidP="00281F3F">
      <w:pPr>
        <w:spacing w:after="0" w:line="360" w:lineRule="auto"/>
        <w:jc w:val="both"/>
        <w:rPr>
          <w:lang w:val="af-ZA"/>
        </w:rPr>
      </w:pPr>
    </w:p>
    <w:p w:rsidR="00281F3F" w:rsidRPr="004B5331" w:rsidRDefault="00281F3F" w:rsidP="00281F3F">
      <w:pPr>
        <w:spacing w:after="0" w:line="360" w:lineRule="auto"/>
        <w:jc w:val="center"/>
        <w:rPr>
          <w:lang w:val="af-ZA"/>
        </w:rPr>
      </w:pPr>
      <w:r w:rsidRPr="004B5331">
        <w:rPr>
          <w:lang w:val="af-ZA"/>
        </w:rPr>
        <w:t>TS civ., dec. 2841/18 decembrie 1974</w:t>
      </w:r>
    </w:p>
    <w:p w:rsidR="00281F3F" w:rsidRPr="004B5331" w:rsidRDefault="00281F3F" w:rsidP="00281F3F">
      <w:pPr>
        <w:spacing w:after="0" w:line="360" w:lineRule="auto"/>
        <w:ind w:firstLine="720"/>
        <w:jc w:val="both"/>
        <w:rPr>
          <w:lang w:val="af-ZA"/>
        </w:rPr>
      </w:pPr>
      <w:r w:rsidRPr="004B5331">
        <w:rPr>
          <w:lang w:val="af-ZA"/>
        </w:rPr>
        <w:t>Nulitatea relativă pentru datarea incompletă a testamentului poate fi acoperită în situaţia în care se învederează că, la data întocmirii lui, nu au existat efecte care să contrazică scopul – de ocrotire – al dispoziţiilor art. 859 C.civ. şi a căror înlăturare să fie necesară prin mijlocirea nulităţii.</w:t>
      </w:r>
    </w:p>
    <w:p w:rsidR="00281F3F" w:rsidRPr="004B5331" w:rsidRDefault="00281F3F" w:rsidP="00281F3F">
      <w:pPr>
        <w:spacing w:after="0" w:line="360" w:lineRule="auto"/>
        <w:jc w:val="both"/>
        <w:rPr>
          <w:lang w:val="af-ZA"/>
        </w:rPr>
      </w:pPr>
    </w:p>
    <w:p w:rsidR="00281F3F" w:rsidRPr="004B5331" w:rsidRDefault="00281F3F" w:rsidP="00281F3F">
      <w:pPr>
        <w:spacing w:after="0" w:line="360" w:lineRule="auto"/>
        <w:jc w:val="both"/>
        <w:rPr>
          <w:lang w:val="af-ZA"/>
        </w:rPr>
      </w:pPr>
    </w:p>
    <w:p w:rsidR="00281F3F" w:rsidRPr="004B5331" w:rsidRDefault="00281F3F" w:rsidP="00281F3F">
      <w:pPr>
        <w:spacing w:after="0" w:line="360" w:lineRule="auto"/>
        <w:jc w:val="center"/>
        <w:rPr>
          <w:lang w:val="af-ZA"/>
        </w:rPr>
      </w:pPr>
      <w:r w:rsidRPr="004B5331">
        <w:rPr>
          <w:lang w:val="af-ZA"/>
        </w:rPr>
        <w:t>Curtea de Apel Craiova, decizia nr. 376/2010</w:t>
      </w:r>
    </w:p>
    <w:p w:rsidR="00281F3F" w:rsidRPr="004B5331" w:rsidRDefault="00281F3F" w:rsidP="00281F3F">
      <w:pPr>
        <w:spacing w:after="0" w:line="360" w:lineRule="auto"/>
        <w:ind w:firstLine="720"/>
        <w:jc w:val="both"/>
        <w:rPr>
          <w:lang w:val="af-ZA"/>
        </w:rPr>
      </w:pPr>
      <w:r w:rsidRPr="004B5331">
        <w:rPr>
          <w:lang w:val="af-ZA"/>
        </w:rPr>
        <w:t>Se pot administra probe pentru lămurirea unei date incomplete sau involuntar eronate aplicate de testator pe testament, nu şi în ipoteza inexistenţei acestui element esenţial pentru validitatea actului. Nu rezultă din niciunul dintre elementele intrinseci ale actului că data aplicată de martori la finele testamentului coincide cu data exteriorizării manifestării de voinţă din partea defunctului</w:t>
      </w:r>
      <w:r w:rsidRPr="004B5331">
        <w:rPr>
          <w:vertAlign w:val="superscript"/>
          <w:lang w:val="af-ZA"/>
        </w:rPr>
        <w:t>.</w:t>
      </w:r>
    </w:p>
    <w:p w:rsidR="008120BF" w:rsidRPr="004B5331" w:rsidRDefault="008120BF">
      <w:pPr>
        <w:rPr>
          <w:lang w:val="af-ZA"/>
        </w:rPr>
      </w:pPr>
    </w:p>
    <w:sectPr w:rsidR="008120BF" w:rsidRPr="004B5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3F"/>
    <w:rsid w:val="001C381F"/>
    <w:rsid w:val="002509A7"/>
    <w:rsid w:val="00281F3F"/>
    <w:rsid w:val="004265C8"/>
    <w:rsid w:val="004B5331"/>
    <w:rsid w:val="005B1EC4"/>
    <w:rsid w:val="005E34F3"/>
    <w:rsid w:val="008120BF"/>
    <w:rsid w:val="00D64C4E"/>
    <w:rsid w:val="00D8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2A63F-CAF9-4E5F-8A28-5D60FFBC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Bob</dc:creator>
  <cp:keywords/>
  <dc:description/>
  <cp:lastModifiedBy>Mircea Bob</cp:lastModifiedBy>
  <cp:revision>3</cp:revision>
  <dcterms:created xsi:type="dcterms:W3CDTF">2018-04-15T08:21:00Z</dcterms:created>
  <dcterms:modified xsi:type="dcterms:W3CDTF">2018-04-16T11:37:00Z</dcterms:modified>
</cp:coreProperties>
</file>